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黑体" w:hAnsi="黑体" w:eastAsia="黑体"/>
          <w:sz w:val="36"/>
          <w:szCs w:val="32"/>
        </w:rPr>
      </w:pPr>
      <w:r>
        <w:rPr>
          <w:rFonts w:hint="eastAsia" w:ascii="黑体" w:hAnsi="黑体" w:eastAsia="黑体"/>
          <w:sz w:val="36"/>
          <w:szCs w:val="32"/>
        </w:rPr>
        <w:t>广东省路桥、港航工程专业高级工程师（教授级）</w:t>
      </w:r>
    </w:p>
    <w:p>
      <w:pPr>
        <w:pStyle w:val="2"/>
        <w:spacing w:line="360" w:lineRule="auto"/>
        <w:rPr>
          <w:rFonts w:hint="eastAsia" w:ascii="黑体" w:hAnsi="黑体" w:eastAsia="黑体"/>
          <w:sz w:val="36"/>
          <w:szCs w:val="32"/>
        </w:rPr>
      </w:pPr>
      <w:r>
        <w:rPr>
          <w:rFonts w:hint="eastAsia" w:ascii="黑体" w:hAnsi="黑体" w:eastAsia="黑体"/>
          <w:sz w:val="36"/>
          <w:szCs w:val="32"/>
        </w:rPr>
        <w:t>资格条件（征求意见稿）</w:t>
      </w:r>
    </w:p>
    <w:p>
      <w:pPr>
        <w:snapToGrid w:val="0"/>
        <w:spacing w:line="360" w:lineRule="auto"/>
        <w:rPr>
          <w:rFonts w:ascii="仿宋" w:hAnsi="仿宋" w:eastAsia="仿宋"/>
          <w:sz w:val="32"/>
          <w:szCs w:val="32"/>
        </w:rPr>
      </w:pPr>
    </w:p>
    <w:p>
      <w:pPr>
        <w:spacing w:line="360" w:lineRule="auto"/>
        <w:ind w:firstLine="643" w:firstLineChars="200"/>
        <w:rPr>
          <w:rFonts w:ascii="仿宋" w:hAnsi="仿宋" w:eastAsia="仿宋"/>
          <w:sz w:val="32"/>
          <w:szCs w:val="32"/>
        </w:rPr>
      </w:pPr>
      <w:r>
        <w:rPr>
          <w:rFonts w:hint="eastAsia" w:ascii="仿宋" w:hAnsi="仿宋" w:eastAsia="仿宋"/>
          <w:b/>
          <w:sz w:val="32"/>
          <w:szCs w:val="32"/>
        </w:rPr>
        <w:t>评审标准：</w:t>
      </w:r>
      <w:r>
        <w:rPr>
          <w:rFonts w:hint="eastAsia" w:ascii="仿宋" w:hAnsi="仿宋" w:eastAsia="仿宋"/>
          <w:sz w:val="32"/>
          <w:szCs w:val="32"/>
        </w:rPr>
        <w:t>高级工程师（教授级）须精通本专业基础理论和专业知识，把握本专业国内最新技术的发展趋势，熟悉相关专业国内外的科技发展动态；根据国家和本省科技发展的需要，确定本专业的研究方向，提出具有重大技术价值（或学术意义）或开创性的研究问题，承担完成国家或省（部）级重大工程技术或研究项目，解决关键性的技术问题或重大疑难问题，取得突破性进展或重大的科技成果，或进行科技成果的开发、推广，取得显著的效益，发表了高水平的论著；学术造诣深，有较高的知名度，是本专业的学术技术带头人，有指导本专业高级技术人员工作的能力；具有良好的职业道德和敬业精神，学术作风正派。</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第一条　适用范围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本资格条件适用于我省从事应用工程技术岗位工作，具备高级工程师资格的在职在岗工程技术人员。</w:t>
      </w:r>
    </w:p>
    <w:p>
      <w:pPr>
        <w:spacing w:line="360" w:lineRule="auto"/>
        <w:ind w:firstLine="645"/>
        <w:jc w:val="center"/>
        <w:rPr>
          <w:rFonts w:ascii="黑体" w:hAnsi="黑体" w:eastAsia="黑体" w:cs="黑体"/>
          <w:b/>
          <w:sz w:val="32"/>
          <w:szCs w:val="32"/>
        </w:rPr>
      </w:pPr>
      <w:r>
        <w:rPr>
          <w:rFonts w:hint="eastAsia" w:ascii="黑体" w:hAnsi="黑体" w:eastAsia="黑体" w:cs="黑体"/>
          <w:b/>
          <w:sz w:val="32"/>
          <w:szCs w:val="32"/>
        </w:rPr>
        <w:t>第二条　思想品德标准</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遵守中华人民共和国宪法和法律，有良好的职业道德和敬业精神。任现职期间考核称职以上，且至少有一年为“优秀”。任现职期间，出现如下情况之一，在规定年限上延迟申报：</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（一）年度考核基本称职及以下或受单位通报批评者，延迟1年申报。</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（二）受记过以上处分或已定性为技术责任事故的直接责任者，延迟2年申报。</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（三）弄虚作假，伪造学历、资历，剽窃他人成果者，延迟3年申报。</w:t>
      </w:r>
    </w:p>
    <w:p>
      <w:pPr>
        <w:spacing w:line="360" w:lineRule="auto"/>
        <w:jc w:val="center"/>
        <w:rPr>
          <w:rFonts w:ascii="黑体" w:hAnsi="黑体" w:eastAsia="黑体"/>
          <w:b/>
          <w:bCs/>
          <w:sz w:val="32"/>
          <w:szCs w:val="32"/>
        </w:rPr>
      </w:pPr>
      <w:r>
        <w:rPr>
          <w:rFonts w:hint="eastAsia" w:ascii="黑体" w:hAnsi="黑体" w:eastAsia="黑体"/>
          <w:b/>
          <w:bCs/>
          <w:sz w:val="32"/>
          <w:szCs w:val="32"/>
        </w:rPr>
        <w:t>第三条 学历、资历条件</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具备下列条件之一：</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（一）获得本专业或相近专业本科以上学历，取得高级工程师资格后受聘高级工程师职务5年以上。</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 xml:space="preserve">（二）具备上述学历条件，取得高级工程师资格后，受聘高级工程师职务3年以上；或不具备上述学历条件，取得高级工程师资格后，受聘高级工程师职务5年以上。同时任现职期间，业绩显著，贡献突出，并具备下列条件之一： </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1.国家级科技成果奖的主要完成人。</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2.省部级科技成果一等奖的主要完成人，或二等奖2项的主要完成人（其中1项排名为前3名）。</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3.获国家或省批准的有突出贡献的中青年科学技术专家称号者（含享受政府特殊津贴专家）。</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4.获得有较显著经济效益的技术发明专利2项以上（发明人）。</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三）取得副教授、副研究员等资格的专业技术人员申报本资格，需在转评或兼评高级工程师资格后，实际从事本专业高级工程师工作3年以上且受聘高级专业技术职务5年以上。取得副教授、副研究员等资格后的任职年限与取得高级工程师资格后的任职年限可合并计算为从事高级专业技术职务的年限。</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第四条　继续教育条件</w:t>
      </w:r>
    </w:p>
    <w:p>
      <w:pPr>
        <w:spacing w:line="360" w:lineRule="auto"/>
        <w:ind w:firstLine="640" w:firstLineChars="200"/>
        <w:rPr>
          <w:rFonts w:ascii="仿宋" w:hAnsi="仿宋" w:eastAsia="仿宋"/>
          <w:sz w:val="32"/>
          <w:szCs w:val="32"/>
        </w:rPr>
      </w:pPr>
      <w:r>
        <w:rPr>
          <w:rFonts w:hint="eastAsia" w:ascii="仿宋" w:hAnsi="仿宋" w:eastAsia="仿宋"/>
          <w:bCs/>
          <w:sz w:val="32"/>
          <w:szCs w:val="32"/>
        </w:rPr>
        <w:t>任现职期间，按照国家人力资源和社会保障部《专业技术人员继续教育规定》的要求，结合实际专业技术工作需要、参加本专业或相关专业新理论、新技术、新方法为主要内容的继续教育，达到规定要求，并提交有效证明。</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第五条　专业技术工作经历（能力）条件</w:t>
      </w:r>
    </w:p>
    <w:p>
      <w:pPr>
        <w:widowControl/>
        <w:shd w:val="clear" w:color="auto" w:fill="FFFFFF"/>
        <w:spacing w:line="360" w:lineRule="auto"/>
        <w:ind w:firstLine="640" w:firstLineChars="200"/>
        <w:rPr>
          <w:rFonts w:ascii="仿宋" w:hAnsi="仿宋" w:eastAsia="仿宋"/>
          <w:kern w:val="0"/>
          <w:sz w:val="32"/>
          <w:szCs w:val="32"/>
        </w:rPr>
      </w:pPr>
      <w:r>
        <w:rPr>
          <w:rFonts w:ascii="仿宋" w:hAnsi="仿宋" w:eastAsia="仿宋"/>
          <w:kern w:val="0"/>
          <w:sz w:val="32"/>
          <w:szCs w:val="32"/>
        </w:rPr>
        <w:t>以项目建设管理、</w:t>
      </w:r>
      <w:r>
        <w:rPr>
          <w:rFonts w:hint="eastAsia" w:ascii="仿宋" w:hAnsi="仿宋" w:eastAsia="仿宋"/>
          <w:kern w:val="0"/>
          <w:sz w:val="32"/>
          <w:szCs w:val="32"/>
        </w:rPr>
        <w:t>勘察设计、</w:t>
      </w:r>
      <w:r>
        <w:rPr>
          <w:rFonts w:ascii="仿宋" w:hAnsi="仿宋" w:eastAsia="仿宋"/>
          <w:kern w:val="0"/>
          <w:sz w:val="32"/>
          <w:szCs w:val="32"/>
        </w:rPr>
        <w:t>工程监理、施工管理</w:t>
      </w:r>
      <w:r>
        <w:rPr>
          <w:rFonts w:hint="eastAsia" w:ascii="仿宋" w:hAnsi="仿宋" w:eastAsia="仿宋"/>
          <w:sz w:val="32"/>
          <w:szCs w:val="32"/>
        </w:rPr>
        <w:t>等岗位申报的专业技术人员，必须</w:t>
      </w:r>
      <w:r>
        <w:rPr>
          <w:rFonts w:hint="eastAsia" w:ascii="仿宋" w:hAnsi="仿宋" w:eastAsia="仿宋"/>
          <w:kern w:val="0"/>
          <w:sz w:val="32"/>
          <w:szCs w:val="32"/>
        </w:rPr>
        <w:t>曾经任职工程建设项目公司（包括筹建处、管理处、管理中心等）的部门经理以上（或相当）职务；或任职大型项目的总监理工程师办公室部门主任以上职务；或任职大型以上项目施工标段项目经理部部门经理以上职务，或任职大型勘察设计项目的分项负责人或技术负责人以上职务，同时在上述不同岗位上符合职务要求的任职总时间累计应不少于</w:t>
      </w:r>
      <w:r>
        <w:rPr>
          <w:rFonts w:ascii="仿宋" w:hAnsi="仿宋" w:eastAsia="仿宋"/>
          <w:kern w:val="0"/>
          <w:sz w:val="32"/>
          <w:szCs w:val="32"/>
        </w:rPr>
        <w:t>5年以上。</w:t>
      </w:r>
    </w:p>
    <w:p>
      <w:pPr>
        <w:widowControl/>
        <w:shd w:val="clear" w:color="auto" w:fill="FFFFFF"/>
        <w:spacing w:line="360" w:lineRule="auto"/>
        <w:ind w:firstLine="648"/>
        <w:jc w:val="left"/>
        <w:rPr>
          <w:rFonts w:ascii="仿宋" w:hAnsi="仿宋" w:eastAsia="仿宋"/>
          <w:kern w:val="0"/>
          <w:sz w:val="32"/>
          <w:szCs w:val="32"/>
        </w:rPr>
      </w:pPr>
      <w:r>
        <w:rPr>
          <w:rFonts w:ascii="仿宋" w:hAnsi="仿宋" w:eastAsia="仿宋"/>
          <w:kern w:val="0"/>
          <w:sz w:val="32"/>
          <w:szCs w:val="32"/>
        </w:rPr>
        <w:t>同时</w:t>
      </w:r>
      <w:r>
        <w:rPr>
          <w:rFonts w:hint="eastAsia" w:ascii="仿宋" w:hAnsi="仿宋" w:eastAsia="仿宋"/>
          <w:kern w:val="0"/>
          <w:sz w:val="32"/>
          <w:szCs w:val="32"/>
        </w:rPr>
        <w:t>，</w:t>
      </w:r>
      <w:r>
        <w:rPr>
          <w:rFonts w:ascii="仿宋" w:hAnsi="仿宋" w:eastAsia="仿宋"/>
          <w:kern w:val="0"/>
          <w:sz w:val="32"/>
          <w:szCs w:val="32"/>
        </w:rPr>
        <w:t>在任现职期间，具备下列条件之</w:t>
      </w:r>
      <w:r>
        <w:rPr>
          <w:rFonts w:hint="eastAsia" w:ascii="仿宋" w:hAnsi="仿宋" w:eastAsia="仿宋"/>
          <w:kern w:val="0"/>
          <w:sz w:val="32"/>
          <w:szCs w:val="32"/>
        </w:rPr>
        <w:t>两</w:t>
      </w:r>
      <w:r>
        <w:rPr>
          <w:rFonts w:ascii="仿宋" w:hAnsi="仿宋" w:eastAsia="仿宋"/>
          <w:kern w:val="0"/>
          <w:sz w:val="32"/>
          <w:szCs w:val="32"/>
        </w:rPr>
        <w:t>项</w:t>
      </w:r>
      <w:r>
        <w:rPr>
          <w:rFonts w:hint="eastAsia" w:ascii="仿宋" w:hAnsi="仿宋" w:eastAsia="仿宋"/>
          <w:kern w:val="0"/>
          <w:sz w:val="32"/>
          <w:szCs w:val="32"/>
        </w:rPr>
        <w:t>:</w:t>
      </w:r>
    </w:p>
    <w:p>
      <w:pPr>
        <w:widowControl/>
        <w:shd w:val="clear" w:color="auto" w:fill="FFFFFF"/>
        <w:spacing w:line="360" w:lineRule="auto"/>
        <w:ind w:firstLine="640" w:firstLineChars="200"/>
        <w:jc w:val="left"/>
        <w:rPr>
          <w:rFonts w:ascii="仿宋" w:hAnsi="仿宋" w:eastAsia="仿宋"/>
          <w:kern w:val="0"/>
          <w:sz w:val="32"/>
          <w:szCs w:val="32"/>
        </w:rPr>
      </w:pPr>
      <w:r>
        <w:rPr>
          <w:rFonts w:ascii="仿宋" w:hAnsi="仿宋" w:eastAsia="仿宋"/>
          <w:kern w:val="0"/>
          <w:sz w:val="32"/>
          <w:szCs w:val="32"/>
        </w:rPr>
        <w:t>（一）作为本专业技术负责人主持完成</w:t>
      </w:r>
      <w:r>
        <w:rPr>
          <w:rFonts w:hint="eastAsia" w:ascii="仿宋" w:hAnsi="仿宋" w:eastAsia="仿宋"/>
          <w:kern w:val="0"/>
          <w:sz w:val="32"/>
          <w:szCs w:val="32"/>
        </w:rPr>
        <w:t>1项以上或作为主要人员（排前7名）完成2项以上</w:t>
      </w:r>
      <w:r>
        <w:rPr>
          <w:rFonts w:ascii="仿宋" w:hAnsi="仿宋" w:eastAsia="仿宋"/>
          <w:kern w:val="0"/>
          <w:sz w:val="32"/>
          <w:szCs w:val="32"/>
        </w:rPr>
        <w:t>国家级技术攻关项目或研究项目</w:t>
      </w:r>
      <w:r>
        <w:rPr>
          <w:rFonts w:hint="eastAsia" w:ascii="仿宋" w:hAnsi="仿宋" w:eastAsia="仿宋"/>
          <w:kern w:val="0"/>
          <w:sz w:val="32"/>
          <w:szCs w:val="32"/>
        </w:rPr>
        <w:t>，</w:t>
      </w:r>
      <w:r>
        <w:rPr>
          <w:rFonts w:ascii="仿宋" w:hAnsi="仿宋" w:eastAsia="仿宋"/>
          <w:kern w:val="0"/>
          <w:sz w:val="32"/>
          <w:szCs w:val="32"/>
        </w:rPr>
        <w:t>或主持完成</w:t>
      </w:r>
      <w:r>
        <w:rPr>
          <w:rFonts w:hint="eastAsia" w:ascii="仿宋" w:hAnsi="仿宋" w:eastAsia="仿宋"/>
          <w:kern w:val="0"/>
          <w:sz w:val="32"/>
          <w:szCs w:val="32"/>
        </w:rPr>
        <w:t>2项以上或作为主要人员（排前5名）完成3项以上</w:t>
      </w:r>
      <w:r>
        <w:rPr>
          <w:rFonts w:ascii="仿宋" w:hAnsi="仿宋" w:eastAsia="仿宋"/>
          <w:kern w:val="0"/>
          <w:sz w:val="32"/>
          <w:szCs w:val="32"/>
        </w:rPr>
        <w:t>省部级技术攻关项目或研究项目，</w:t>
      </w:r>
      <w:r>
        <w:rPr>
          <w:rFonts w:hint="eastAsia" w:ascii="仿宋" w:hAnsi="仿宋" w:eastAsia="仿宋"/>
          <w:kern w:val="0"/>
          <w:sz w:val="32"/>
          <w:szCs w:val="32"/>
        </w:rPr>
        <w:t>或主持完成3项以上或作为主要人员（排前3名）完成4项以上市厅级</w:t>
      </w:r>
      <w:r>
        <w:rPr>
          <w:rFonts w:ascii="仿宋" w:hAnsi="仿宋" w:eastAsia="仿宋"/>
          <w:kern w:val="0"/>
          <w:sz w:val="32"/>
          <w:szCs w:val="32"/>
        </w:rPr>
        <w:t>技术攻关项目或研究项目。</w:t>
      </w:r>
    </w:p>
    <w:p>
      <w:pPr>
        <w:widowControl/>
        <w:shd w:val="clear" w:color="auto" w:fill="FFFFFF"/>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（二）</w:t>
      </w:r>
      <w:r>
        <w:rPr>
          <w:rFonts w:ascii="仿宋" w:hAnsi="仿宋" w:eastAsia="仿宋"/>
          <w:kern w:val="0"/>
          <w:sz w:val="32"/>
          <w:szCs w:val="32"/>
        </w:rPr>
        <w:t>作为本专业技术负责人，主持完成重大科技成果转化工作或新产品开发工作，解决了关键性的技术问题或重大疑难问题，取得了显著的效益。</w:t>
      </w:r>
    </w:p>
    <w:p>
      <w:pPr>
        <w:widowControl/>
        <w:shd w:val="clear" w:color="auto" w:fill="FFFFFF"/>
        <w:spacing w:line="360" w:lineRule="auto"/>
        <w:ind w:firstLine="640" w:firstLineChars="200"/>
        <w:rPr>
          <w:rFonts w:ascii="仿宋" w:hAnsi="仿宋" w:eastAsia="仿宋"/>
          <w:kern w:val="0"/>
          <w:sz w:val="32"/>
          <w:szCs w:val="32"/>
        </w:rPr>
      </w:pPr>
      <w:r>
        <w:rPr>
          <w:rFonts w:ascii="仿宋" w:hAnsi="仿宋" w:eastAsia="仿宋"/>
          <w:kern w:val="0"/>
          <w:sz w:val="32"/>
          <w:szCs w:val="32"/>
        </w:rPr>
        <w:t>（三）作为本专业技术负责人主持完成2</w:t>
      </w:r>
      <w:r>
        <w:rPr>
          <w:rFonts w:hint="eastAsia" w:ascii="仿宋" w:hAnsi="仿宋" w:eastAsia="仿宋"/>
          <w:kern w:val="0"/>
          <w:sz w:val="32"/>
          <w:szCs w:val="32"/>
        </w:rPr>
        <w:t>项以上或作为主要研究人员（排前</w:t>
      </w:r>
      <w:r>
        <w:rPr>
          <w:rFonts w:ascii="仿宋" w:hAnsi="仿宋" w:eastAsia="仿宋"/>
          <w:kern w:val="0"/>
          <w:sz w:val="32"/>
          <w:szCs w:val="32"/>
        </w:rPr>
        <w:t>3</w:t>
      </w:r>
      <w:r>
        <w:rPr>
          <w:rFonts w:hint="eastAsia" w:ascii="仿宋" w:hAnsi="仿宋" w:eastAsia="仿宋"/>
          <w:kern w:val="0"/>
          <w:sz w:val="32"/>
          <w:szCs w:val="32"/>
        </w:rPr>
        <w:t>名）完成4项以上省部级以上的战略、规划、政策、法规类研究项目，且成果经转化形成了重要的指导性、规范性文件。</w:t>
      </w:r>
    </w:p>
    <w:p>
      <w:pPr>
        <w:widowControl/>
        <w:shd w:val="clear" w:color="auto" w:fill="FFFFFF"/>
        <w:spacing w:line="360" w:lineRule="auto"/>
        <w:ind w:firstLine="640" w:firstLineChars="200"/>
        <w:rPr>
          <w:rFonts w:ascii="仿宋" w:hAnsi="仿宋" w:eastAsia="仿宋"/>
          <w:sz w:val="32"/>
          <w:szCs w:val="32"/>
        </w:rPr>
      </w:pPr>
      <w:r>
        <w:rPr>
          <w:rFonts w:hint="eastAsia" w:ascii="仿宋" w:hAnsi="仿宋" w:eastAsia="仿宋"/>
          <w:sz w:val="32"/>
          <w:szCs w:val="32"/>
        </w:rPr>
        <w:t>（四）作为主要起草人（排前5名）参与本专业方面的国家标准、部级行业标准的制（修）定工作1项以上，或作为主要起草人（排前3名）参与本专业省级标准、厅级行业标准的制（修）定工作2项以上，且该标准在相应行业范围内得到正式发布实施。</w:t>
      </w:r>
    </w:p>
    <w:p>
      <w:pPr>
        <w:spacing w:line="360" w:lineRule="auto"/>
        <w:ind w:left="-53" w:leftChars="-25" w:right="-53" w:firstLine="640" w:firstLineChars="200"/>
        <w:rPr>
          <w:rFonts w:ascii="仿宋" w:hAnsi="仿宋" w:eastAsia="仿宋"/>
          <w:kern w:val="0"/>
          <w:sz w:val="32"/>
          <w:szCs w:val="32"/>
        </w:rPr>
      </w:pPr>
      <w:r>
        <w:rPr>
          <w:rFonts w:hint="eastAsia" w:ascii="仿宋" w:hAnsi="仿宋" w:eastAsia="仿宋" w:cs="宋体"/>
          <w:kern w:val="0"/>
          <w:sz w:val="32"/>
          <w:szCs w:val="32"/>
        </w:rPr>
        <w:t>（五）作为主要技术负责人</w:t>
      </w:r>
      <w:r>
        <w:rPr>
          <w:rFonts w:hint="eastAsia" w:ascii="仿宋" w:hAnsi="仿宋" w:eastAsia="仿宋"/>
          <w:kern w:val="0"/>
          <w:sz w:val="32"/>
          <w:szCs w:val="32"/>
        </w:rPr>
        <w:t>完成</w:t>
      </w:r>
      <w:r>
        <w:rPr>
          <w:rFonts w:ascii="仿宋" w:hAnsi="仿宋" w:eastAsia="仿宋"/>
          <w:kern w:val="0"/>
          <w:sz w:val="32"/>
          <w:szCs w:val="32"/>
        </w:rPr>
        <w:t>1</w:t>
      </w:r>
      <w:r>
        <w:rPr>
          <w:rFonts w:hint="eastAsia" w:ascii="仿宋" w:hAnsi="仿宋" w:eastAsia="仿宋"/>
          <w:kern w:val="0"/>
          <w:sz w:val="32"/>
          <w:szCs w:val="32"/>
        </w:rPr>
        <w:t>项以上</w:t>
      </w:r>
      <w:r>
        <w:rPr>
          <w:rFonts w:hint="eastAsia" w:ascii="仿宋" w:hAnsi="仿宋" w:eastAsia="仿宋" w:cs="宋体"/>
          <w:kern w:val="0"/>
          <w:sz w:val="32"/>
          <w:szCs w:val="32"/>
        </w:rPr>
        <w:t>重大或</w:t>
      </w:r>
      <w:r>
        <w:rPr>
          <w:rFonts w:ascii="仿宋" w:hAnsi="仿宋" w:eastAsia="仿宋" w:cs="宋体"/>
          <w:kern w:val="0"/>
          <w:sz w:val="32"/>
          <w:szCs w:val="32"/>
        </w:rPr>
        <w:t>2项以上</w:t>
      </w:r>
      <w:r>
        <w:rPr>
          <w:rFonts w:hint="eastAsia" w:ascii="仿宋" w:hAnsi="仿宋" w:eastAsia="仿宋" w:cs="宋体"/>
          <w:kern w:val="0"/>
          <w:sz w:val="32"/>
          <w:szCs w:val="32"/>
        </w:rPr>
        <w:t>大型</w:t>
      </w:r>
      <w:r>
        <w:rPr>
          <w:rFonts w:hint="eastAsia" w:ascii="仿宋" w:hAnsi="仿宋" w:eastAsia="仿宋"/>
          <w:kern w:val="0"/>
          <w:sz w:val="32"/>
          <w:szCs w:val="32"/>
        </w:rPr>
        <w:t>公路（水运）工程项目（</w:t>
      </w:r>
      <w:r>
        <w:rPr>
          <w:rFonts w:hint="eastAsia" w:ascii="仿宋" w:hAnsi="仿宋" w:eastAsia="仿宋" w:cs="宋体"/>
          <w:kern w:val="0"/>
          <w:sz w:val="32"/>
          <w:szCs w:val="32"/>
        </w:rPr>
        <w:t>建设管理或施工管理</w:t>
      </w:r>
      <w:r>
        <w:rPr>
          <w:rFonts w:hint="eastAsia" w:ascii="仿宋" w:hAnsi="仿宋" w:eastAsia="仿宋"/>
          <w:kern w:val="0"/>
          <w:sz w:val="32"/>
          <w:szCs w:val="32"/>
        </w:rPr>
        <w:t>）；</w:t>
      </w:r>
      <w:r>
        <w:rPr>
          <w:rFonts w:hint="eastAsia" w:ascii="仿宋" w:hAnsi="仿宋" w:eastAsia="仿宋" w:cs="宋体"/>
          <w:kern w:val="0"/>
          <w:sz w:val="32"/>
          <w:szCs w:val="32"/>
        </w:rPr>
        <w:t>作为主要技术负责人</w:t>
      </w:r>
      <w:r>
        <w:rPr>
          <w:rFonts w:hint="eastAsia" w:ascii="仿宋" w:hAnsi="仿宋" w:eastAsia="仿宋"/>
          <w:kern w:val="0"/>
          <w:sz w:val="32"/>
          <w:szCs w:val="32"/>
        </w:rPr>
        <w:t>完成2项以上</w:t>
      </w:r>
      <w:r>
        <w:rPr>
          <w:rFonts w:hint="eastAsia" w:ascii="仿宋" w:hAnsi="仿宋" w:eastAsia="仿宋" w:cs="宋体"/>
          <w:kern w:val="0"/>
          <w:sz w:val="32"/>
          <w:szCs w:val="32"/>
        </w:rPr>
        <w:t>重大或4</w:t>
      </w:r>
      <w:r>
        <w:rPr>
          <w:rFonts w:ascii="仿宋" w:hAnsi="仿宋" w:eastAsia="仿宋" w:cs="宋体"/>
          <w:kern w:val="0"/>
          <w:sz w:val="32"/>
          <w:szCs w:val="32"/>
        </w:rPr>
        <w:t>项以上</w:t>
      </w:r>
      <w:r>
        <w:rPr>
          <w:rFonts w:hint="eastAsia" w:ascii="仿宋" w:hAnsi="仿宋" w:eastAsia="仿宋" w:cs="宋体"/>
          <w:kern w:val="0"/>
          <w:sz w:val="32"/>
          <w:szCs w:val="32"/>
        </w:rPr>
        <w:t>大型</w:t>
      </w:r>
      <w:r>
        <w:rPr>
          <w:rFonts w:hint="eastAsia" w:ascii="仿宋" w:hAnsi="仿宋" w:eastAsia="仿宋"/>
          <w:kern w:val="0"/>
          <w:sz w:val="32"/>
          <w:szCs w:val="32"/>
        </w:rPr>
        <w:t>公路（水运）工程项目（</w:t>
      </w:r>
      <w:r>
        <w:rPr>
          <w:rFonts w:hint="eastAsia" w:ascii="仿宋" w:hAnsi="仿宋" w:eastAsia="仿宋" w:cs="宋体"/>
          <w:kern w:val="0"/>
          <w:sz w:val="32"/>
          <w:szCs w:val="32"/>
        </w:rPr>
        <w:t>勘察设计或工程监理</w:t>
      </w:r>
      <w:r>
        <w:rPr>
          <w:rFonts w:hint="eastAsia" w:ascii="仿宋" w:hAnsi="仿宋" w:eastAsia="仿宋"/>
          <w:kern w:val="0"/>
          <w:sz w:val="32"/>
          <w:szCs w:val="32"/>
        </w:rPr>
        <w:t>）；</w:t>
      </w:r>
      <w:r>
        <w:rPr>
          <w:rFonts w:hint="eastAsia" w:ascii="仿宋" w:hAnsi="仿宋" w:eastAsia="仿宋" w:cs="宋体"/>
          <w:kern w:val="0"/>
          <w:sz w:val="32"/>
          <w:szCs w:val="32"/>
        </w:rPr>
        <w:t>作为主要技术负责人</w:t>
      </w:r>
      <w:r>
        <w:rPr>
          <w:rFonts w:hint="eastAsia" w:ascii="仿宋" w:hAnsi="仿宋" w:eastAsia="仿宋"/>
          <w:kern w:val="0"/>
          <w:sz w:val="32"/>
          <w:szCs w:val="32"/>
        </w:rPr>
        <w:t>完成3项以上重大或6项以上大型公路（水运）工程项目（项目咨询或造价或交通规划）。</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第六条 业绩成果条件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任现职期间，具备下列条件之一: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（一）国家级科技成果奖获奖项目的主要完成人（以奖励证书为准，下同）。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（二）省（部）级科技成果奖一、二等奖获奖项目的主要完成人。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（三）省（部）级科技成果奖三等奖或市（厅）级科技成果奖一等奖获奖项目的主要完成人（均排前3名）。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（四）获得国家级工程类技术成果奖项的主要完成人（以或奖证书和有关证明材料为准，下同）；或获省级工程类技术成果奖项一、二等奖的主要完成人。</w:t>
      </w:r>
    </w:p>
    <w:p>
      <w:pPr>
        <w:ind w:firstLine="640" w:firstLineChars="200"/>
        <w:rPr>
          <w:rFonts w:ascii="仿宋" w:hAnsi="仿宋" w:eastAsia="仿宋"/>
          <w:sz w:val="32"/>
          <w:szCs w:val="32"/>
        </w:rPr>
      </w:pPr>
      <w:r>
        <w:rPr>
          <w:rFonts w:hint="eastAsia" w:ascii="仿宋" w:hAnsi="仿宋" w:eastAsia="仿宋"/>
          <w:sz w:val="32"/>
          <w:szCs w:val="32"/>
        </w:rPr>
        <w:t>（五）作为本专业技术负责人，主持完成的重大工程技术项目或研究成果，经同行专家鉴定达到国内领先或国际先进水平。</w:t>
      </w:r>
    </w:p>
    <w:p>
      <w:pPr>
        <w:ind w:firstLine="640" w:firstLineChars="200"/>
        <w:rPr>
          <w:rFonts w:ascii="仿宋" w:hAnsi="仿宋" w:eastAsia="仿宋"/>
          <w:sz w:val="32"/>
          <w:szCs w:val="32"/>
        </w:rPr>
      </w:pPr>
      <w:r>
        <w:rPr>
          <w:rFonts w:hint="eastAsia" w:ascii="仿宋" w:hAnsi="仿宋" w:eastAsia="仿宋"/>
          <w:sz w:val="32"/>
          <w:szCs w:val="32"/>
        </w:rPr>
        <w:t>（六）作为本专业技术负责人，主持完成的重大工程技术项目或科技成果转化工作，在全国或全省范围内产生重大影响，取得了显著的效益。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（七）在主持管理科研项目或新产品开发过程中，取得重大技术创新成果，产生明显经济和社会效益，或获得有较大价值并取得显著效益的技术发明专利1项（发明人）。</w:t>
      </w: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第七条　论文、著作条件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任现职期间、公开发表、出版本专业高水平的学术论文、著作，并在下表中合计达</w:t>
      </w:r>
      <w:r>
        <w:rPr>
          <w:rFonts w:ascii="仿宋" w:hAnsi="仿宋" w:eastAsia="仿宋"/>
          <w:sz w:val="32"/>
          <w:szCs w:val="32"/>
        </w:rPr>
        <w:t xml:space="preserve">10 </w:t>
      </w:r>
      <w:r>
        <w:rPr>
          <w:rFonts w:hint="eastAsia" w:ascii="仿宋" w:hAnsi="仿宋" w:eastAsia="仿宋"/>
          <w:sz w:val="32"/>
          <w:szCs w:val="32"/>
        </w:rPr>
        <w:t>分的论文分值。</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559"/>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Merge w:val="restart"/>
            <w:vAlign w:val="center"/>
          </w:tcPr>
          <w:p>
            <w:pPr>
              <w:spacing w:line="360" w:lineRule="exact"/>
              <w:jc w:val="center"/>
              <w:rPr>
                <w:rFonts w:ascii="仿宋" w:hAnsi="仿宋" w:eastAsia="仿宋"/>
                <w:sz w:val="28"/>
                <w:szCs w:val="28"/>
              </w:rPr>
            </w:pPr>
            <w:r>
              <w:rPr>
                <w:rFonts w:hint="eastAsia" w:ascii="仿宋" w:hAnsi="仿宋" w:eastAsia="仿宋"/>
                <w:sz w:val="28"/>
                <w:szCs w:val="28"/>
              </w:rPr>
              <w:t>论文、著作</w:t>
            </w:r>
          </w:p>
        </w:tc>
        <w:tc>
          <w:tcPr>
            <w:tcW w:w="1559" w:type="dxa"/>
            <w:vMerge w:val="restart"/>
            <w:vAlign w:val="center"/>
          </w:tcPr>
          <w:p>
            <w:pPr>
              <w:spacing w:line="360" w:lineRule="exact"/>
              <w:jc w:val="center"/>
              <w:rPr>
                <w:rFonts w:ascii="仿宋" w:hAnsi="仿宋" w:eastAsia="仿宋"/>
                <w:sz w:val="28"/>
                <w:szCs w:val="28"/>
              </w:rPr>
            </w:pPr>
            <w:r>
              <w:rPr>
                <w:rFonts w:hint="eastAsia" w:ascii="仿宋" w:hAnsi="仿宋" w:eastAsia="仿宋"/>
                <w:sz w:val="28"/>
                <w:szCs w:val="28"/>
              </w:rPr>
              <w:t>字数要求</w:t>
            </w:r>
          </w:p>
        </w:tc>
        <w:tc>
          <w:tcPr>
            <w:tcW w:w="3027" w:type="dxa"/>
            <w:gridSpan w:val="2"/>
            <w:vAlign w:val="center"/>
          </w:tcPr>
          <w:p>
            <w:pPr>
              <w:spacing w:line="360" w:lineRule="exact"/>
              <w:jc w:val="center"/>
              <w:rPr>
                <w:rFonts w:ascii="仿宋" w:hAnsi="仿宋" w:eastAsia="仿宋"/>
                <w:sz w:val="28"/>
                <w:szCs w:val="28"/>
              </w:rPr>
            </w:pPr>
            <w:r>
              <w:rPr>
                <w:rFonts w:hint="eastAsia" w:ascii="仿宋" w:hAnsi="仿宋" w:eastAsia="仿宋"/>
                <w:sz w:val="28"/>
                <w:szCs w:val="28"/>
              </w:rPr>
              <w:t>作者分值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Merge w:val="continue"/>
            <w:vAlign w:val="center"/>
          </w:tcPr>
          <w:p>
            <w:pPr>
              <w:keepNext/>
              <w:keepLines/>
              <w:spacing w:before="340" w:after="330" w:line="360" w:lineRule="exact"/>
              <w:jc w:val="center"/>
              <w:rPr>
                <w:rFonts w:ascii="仿宋" w:hAnsi="仿宋" w:eastAsia="仿宋"/>
                <w:sz w:val="28"/>
                <w:szCs w:val="28"/>
              </w:rPr>
            </w:pPr>
          </w:p>
        </w:tc>
        <w:tc>
          <w:tcPr>
            <w:tcW w:w="1559" w:type="dxa"/>
            <w:vMerge w:val="continue"/>
            <w:vAlign w:val="center"/>
          </w:tcPr>
          <w:p>
            <w:pPr>
              <w:keepNext/>
              <w:keepLines/>
              <w:spacing w:before="340" w:after="330" w:line="360" w:lineRule="exact"/>
              <w:jc w:val="center"/>
              <w:rPr>
                <w:rFonts w:ascii="仿宋" w:hAnsi="仿宋" w:eastAsia="仿宋"/>
                <w:sz w:val="28"/>
                <w:szCs w:val="28"/>
              </w:rPr>
            </w:pPr>
          </w:p>
        </w:tc>
        <w:tc>
          <w:tcPr>
            <w:tcW w:w="1417"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第一作者</w:t>
            </w:r>
          </w:p>
        </w:tc>
        <w:tc>
          <w:tcPr>
            <w:tcW w:w="1610"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第二作者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公开出版本专业学术专著</w:t>
            </w:r>
            <w:r>
              <w:rPr>
                <w:rFonts w:ascii="仿宋" w:hAnsi="仿宋" w:eastAsia="仿宋"/>
                <w:sz w:val="28"/>
                <w:szCs w:val="28"/>
              </w:rPr>
              <w:t xml:space="preserve">1 </w:t>
            </w:r>
            <w:r>
              <w:rPr>
                <w:rFonts w:hint="eastAsia" w:ascii="仿宋" w:hAnsi="仿宋" w:eastAsia="仿宋"/>
                <w:sz w:val="28"/>
                <w:szCs w:val="28"/>
              </w:rPr>
              <w:t>部</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万字以上</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7 </w:t>
            </w:r>
            <w:r>
              <w:rPr>
                <w:rFonts w:hint="eastAsia" w:ascii="仿宋" w:hAnsi="仿宋" w:eastAsia="仿宋"/>
                <w:sz w:val="28"/>
                <w:szCs w:val="28"/>
              </w:rPr>
              <w:t>分</w:t>
            </w:r>
          </w:p>
          <w:p>
            <w:pPr>
              <w:spacing w:line="360" w:lineRule="exact"/>
              <w:rPr>
                <w:rFonts w:ascii="仿宋" w:hAnsi="仿宋" w:eastAsia="仿宋"/>
                <w:sz w:val="28"/>
                <w:szCs w:val="28"/>
              </w:rPr>
            </w:pPr>
            <w:r>
              <w:rPr>
                <w:rFonts w:hint="eastAsia" w:ascii="仿宋" w:hAnsi="仿宋" w:eastAsia="仿宋"/>
                <w:sz w:val="28"/>
                <w:szCs w:val="28"/>
              </w:rPr>
              <w:t>（主编）</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分</w:t>
            </w:r>
          </w:p>
          <w:p>
            <w:pPr>
              <w:spacing w:line="360" w:lineRule="exact"/>
              <w:jc w:val="center"/>
              <w:rPr>
                <w:rFonts w:ascii="仿宋" w:hAnsi="仿宋" w:eastAsia="仿宋"/>
                <w:sz w:val="28"/>
                <w:szCs w:val="28"/>
              </w:rPr>
            </w:pPr>
            <w:r>
              <w:rPr>
                <w:rFonts w:hint="eastAsia" w:ascii="仿宋" w:hAnsi="仿宋" w:eastAsia="仿宋"/>
                <w:sz w:val="28"/>
                <w:szCs w:val="28"/>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公开出版相关专业学术技术著作或本专业译著</w:t>
            </w:r>
            <w:r>
              <w:rPr>
                <w:rFonts w:ascii="仿宋" w:hAnsi="仿宋" w:eastAsia="仿宋"/>
                <w:sz w:val="28"/>
                <w:szCs w:val="28"/>
              </w:rPr>
              <w:t xml:space="preserve">1 </w:t>
            </w:r>
            <w:r>
              <w:rPr>
                <w:rFonts w:hint="eastAsia" w:ascii="仿宋" w:hAnsi="仿宋" w:eastAsia="仿宋"/>
                <w:sz w:val="28"/>
                <w:szCs w:val="28"/>
              </w:rPr>
              <w:t>部</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万字以上</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分</w:t>
            </w:r>
          </w:p>
          <w:p>
            <w:pPr>
              <w:spacing w:line="360" w:lineRule="exact"/>
              <w:rPr>
                <w:rFonts w:ascii="仿宋" w:hAnsi="仿宋" w:eastAsia="仿宋"/>
                <w:sz w:val="28"/>
                <w:szCs w:val="28"/>
              </w:rPr>
            </w:pPr>
            <w:r>
              <w:rPr>
                <w:rFonts w:hint="eastAsia" w:ascii="仿宋" w:hAnsi="仿宋" w:eastAsia="仿宋"/>
                <w:sz w:val="28"/>
                <w:szCs w:val="28"/>
              </w:rPr>
              <w:t>（主编）</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分</w:t>
            </w:r>
          </w:p>
          <w:p>
            <w:pPr>
              <w:spacing w:line="360" w:lineRule="exact"/>
              <w:jc w:val="center"/>
              <w:rPr>
                <w:rFonts w:ascii="仿宋" w:hAnsi="仿宋" w:eastAsia="仿宋"/>
                <w:sz w:val="28"/>
                <w:szCs w:val="28"/>
              </w:rPr>
            </w:pPr>
            <w:r>
              <w:rPr>
                <w:rFonts w:hint="eastAsia" w:ascii="仿宋" w:hAnsi="仿宋" w:eastAsia="仿宋"/>
                <w:sz w:val="28"/>
                <w:szCs w:val="28"/>
              </w:rPr>
              <w:t>（第一副主编）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公开出版本专业技术手册</w:t>
            </w:r>
            <w:r>
              <w:rPr>
                <w:rFonts w:ascii="仿宋" w:hAnsi="仿宋" w:eastAsia="仿宋"/>
                <w:sz w:val="28"/>
                <w:szCs w:val="28"/>
              </w:rPr>
              <w:t xml:space="preserve">1 </w:t>
            </w:r>
            <w:r>
              <w:rPr>
                <w:rFonts w:hint="eastAsia" w:ascii="仿宋" w:hAnsi="仿宋" w:eastAsia="仿宋"/>
                <w:sz w:val="28"/>
                <w:szCs w:val="28"/>
              </w:rPr>
              <w:t>册</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20 </w:t>
            </w:r>
            <w:r>
              <w:rPr>
                <w:rFonts w:hint="eastAsia" w:ascii="仿宋" w:hAnsi="仿宋" w:eastAsia="仿宋"/>
                <w:sz w:val="28"/>
                <w:szCs w:val="28"/>
              </w:rPr>
              <w:t>万字以上</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分</w:t>
            </w:r>
          </w:p>
          <w:p>
            <w:pPr>
              <w:spacing w:line="360" w:lineRule="exact"/>
              <w:jc w:val="center"/>
              <w:rPr>
                <w:rFonts w:ascii="仿宋" w:hAnsi="仿宋" w:eastAsia="仿宋"/>
                <w:sz w:val="28"/>
                <w:szCs w:val="28"/>
              </w:rPr>
            </w:pPr>
            <w:r>
              <w:rPr>
                <w:rFonts w:hint="eastAsia" w:ascii="仿宋" w:hAnsi="仿宋" w:eastAsia="仿宋"/>
                <w:sz w:val="28"/>
                <w:szCs w:val="28"/>
              </w:rPr>
              <w:t>（主编）</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分</w:t>
            </w:r>
          </w:p>
          <w:p>
            <w:pPr>
              <w:spacing w:line="360" w:lineRule="exact"/>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排名前3</w:t>
            </w:r>
            <w:r>
              <w:rPr>
                <w:rFonts w:hint="eastAsia" w:ascii="仿宋" w:hAnsi="仿宋" w:eastAsia="仿宋"/>
                <w:sz w:val="28"/>
                <w:szCs w:val="28"/>
              </w:rPr>
              <w:t>的主要编写人员）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在</w:t>
            </w:r>
            <w:r>
              <w:rPr>
                <w:rFonts w:ascii="仿宋" w:hAnsi="仿宋" w:eastAsia="仿宋"/>
                <w:sz w:val="28"/>
                <w:szCs w:val="28"/>
              </w:rPr>
              <w:t>Nature</w:t>
            </w:r>
            <w:r>
              <w:rPr>
                <w:rFonts w:hint="eastAsia" w:ascii="仿宋" w:hAnsi="仿宋" w:eastAsia="仿宋"/>
                <w:sz w:val="28"/>
                <w:szCs w:val="28"/>
              </w:rPr>
              <w:t>、</w:t>
            </w:r>
            <w:r>
              <w:rPr>
                <w:rFonts w:ascii="仿宋" w:hAnsi="仿宋" w:eastAsia="仿宋"/>
                <w:sz w:val="28"/>
                <w:szCs w:val="28"/>
              </w:rPr>
              <w:t xml:space="preserve">Science </w:t>
            </w:r>
            <w:r>
              <w:rPr>
                <w:rFonts w:hint="eastAsia" w:ascii="仿宋" w:hAnsi="仿宋" w:eastAsia="仿宋"/>
                <w:sz w:val="28"/>
                <w:szCs w:val="28"/>
              </w:rPr>
              <w:t>发表论文或在专业领域影响因子</w:t>
            </w:r>
            <w:r>
              <w:rPr>
                <w:rFonts w:ascii="仿宋" w:hAnsi="仿宋" w:eastAsia="仿宋"/>
                <w:sz w:val="28"/>
                <w:szCs w:val="28"/>
              </w:rPr>
              <w:t xml:space="preserve">3.0 </w:t>
            </w:r>
            <w:r>
              <w:rPr>
                <w:rFonts w:hint="eastAsia" w:ascii="仿宋" w:hAnsi="仿宋" w:eastAsia="仿宋"/>
                <w:sz w:val="28"/>
                <w:szCs w:val="28"/>
              </w:rPr>
              <w:t>以上的科技期刊发表论文</w:t>
            </w:r>
            <w:r>
              <w:rPr>
                <w:rFonts w:ascii="仿宋" w:hAnsi="仿宋" w:eastAsia="仿宋"/>
                <w:sz w:val="28"/>
                <w:szCs w:val="28"/>
              </w:rPr>
              <w:t>1</w:t>
            </w:r>
            <w:r>
              <w:rPr>
                <w:rFonts w:hint="eastAsia" w:ascii="仿宋" w:hAnsi="仿宋" w:eastAsia="仿宋"/>
                <w:sz w:val="28"/>
                <w:szCs w:val="28"/>
              </w:rPr>
              <w:t>篇</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10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被</w:t>
            </w:r>
            <w:r>
              <w:rPr>
                <w:rFonts w:ascii="仿宋" w:hAnsi="仿宋" w:eastAsia="仿宋"/>
                <w:sz w:val="28"/>
                <w:szCs w:val="28"/>
              </w:rPr>
              <w:t>SCI(</w:t>
            </w:r>
            <w:r>
              <w:rPr>
                <w:rFonts w:hint="eastAsia" w:ascii="仿宋" w:hAnsi="仿宋" w:eastAsia="仿宋"/>
                <w:sz w:val="28"/>
                <w:szCs w:val="28"/>
              </w:rPr>
              <w:t>科学引文索引</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EI(</w:t>
            </w:r>
            <w:r>
              <w:rPr>
                <w:rFonts w:hint="eastAsia" w:ascii="仿宋" w:hAnsi="仿宋" w:eastAsia="仿宋"/>
                <w:sz w:val="28"/>
                <w:szCs w:val="28"/>
              </w:rPr>
              <w:t>工程索引</w:t>
            </w:r>
            <w:r>
              <w:rPr>
                <w:rFonts w:ascii="仿宋" w:hAnsi="仿宋" w:eastAsia="仿宋"/>
                <w:sz w:val="28"/>
                <w:szCs w:val="28"/>
              </w:rPr>
              <w:t>)</w:t>
            </w:r>
            <w:r>
              <w:rPr>
                <w:rFonts w:hint="eastAsia" w:ascii="仿宋" w:hAnsi="仿宋" w:eastAsia="仿宋"/>
                <w:sz w:val="28"/>
                <w:szCs w:val="28"/>
              </w:rPr>
              <w:t>收录的论文</w:t>
            </w:r>
            <w:r>
              <w:rPr>
                <w:rFonts w:ascii="仿宋" w:hAnsi="仿宋" w:eastAsia="仿宋"/>
                <w:sz w:val="28"/>
                <w:szCs w:val="28"/>
              </w:rPr>
              <w:t xml:space="preserve">1 </w:t>
            </w:r>
            <w:r>
              <w:rPr>
                <w:rFonts w:hint="eastAsia" w:ascii="仿宋" w:hAnsi="仿宋" w:eastAsia="仿宋"/>
                <w:sz w:val="28"/>
                <w:szCs w:val="28"/>
              </w:rPr>
              <w:t>篇</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7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在中文核心期刊发表本专业学术论文</w:t>
            </w:r>
            <w:r>
              <w:rPr>
                <w:rFonts w:ascii="仿宋" w:hAnsi="仿宋" w:eastAsia="仿宋"/>
                <w:sz w:val="28"/>
                <w:szCs w:val="28"/>
              </w:rPr>
              <w:t xml:space="preserve">1 </w:t>
            </w:r>
            <w:r>
              <w:rPr>
                <w:rFonts w:hint="eastAsia" w:ascii="仿宋" w:hAnsi="仿宋" w:eastAsia="仿宋"/>
                <w:sz w:val="28"/>
                <w:szCs w:val="28"/>
              </w:rPr>
              <w:t>篇</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千字以上</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在学术期刊上发表本专业学术论文</w:t>
            </w:r>
            <w:r>
              <w:rPr>
                <w:rFonts w:ascii="仿宋" w:hAnsi="仿宋" w:eastAsia="仿宋"/>
                <w:sz w:val="28"/>
                <w:szCs w:val="28"/>
              </w:rPr>
              <w:t xml:space="preserve">1 </w:t>
            </w:r>
            <w:r>
              <w:rPr>
                <w:rFonts w:hint="eastAsia" w:ascii="仿宋" w:hAnsi="仿宋" w:eastAsia="仿宋"/>
                <w:sz w:val="28"/>
                <w:szCs w:val="28"/>
              </w:rPr>
              <w:t>篇</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千字以上</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1.5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主要执笔编写经评审通过的国家级工法</w:t>
            </w:r>
            <w:r>
              <w:rPr>
                <w:rFonts w:ascii="仿宋" w:hAnsi="仿宋" w:eastAsia="仿宋"/>
                <w:sz w:val="28"/>
                <w:szCs w:val="28"/>
              </w:rPr>
              <w:t xml:space="preserve">1 </w:t>
            </w:r>
            <w:r>
              <w:rPr>
                <w:rFonts w:hint="eastAsia" w:ascii="仿宋" w:hAnsi="仿宋" w:eastAsia="仿宋"/>
                <w:sz w:val="28"/>
                <w:szCs w:val="28"/>
              </w:rPr>
              <w:t>项</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vAlign w:val="center"/>
          </w:tcPr>
          <w:p>
            <w:pPr>
              <w:spacing w:line="360" w:lineRule="exact"/>
              <w:rPr>
                <w:rFonts w:ascii="仿宋" w:hAnsi="仿宋" w:eastAsia="仿宋"/>
                <w:sz w:val="28"/>
                <w:szCs w:val="28"/>
              </w:rPr>
            </w:pPr>
            <w:r>
              <w:rPr>
                <w:rFonts w:hint="eastAsia" w:ascii="仿宋" w:hAnsi="仿宋" w:eastAsia="仿宋"/>
                <w:sz w:val="28"/>
                <w:szCs w:val="28"/>
              </w:rPr>
              <w:t>主要执笔编写经评审通过的省部级工法</w:t>
            </w:r>
            <w:r>
              <w:rPr>
                <w:rFonts w:ascii="仿宋" w:hAnsi="仿宋" w:eastAsia="仿宋"/>
                <w:sz w:val="28"/>
                <w:szCs w:val="28"/>
              </w:rPr>
              <w:t xml:space="preserve">1 </w:t>
            </w:r>
            <w:r>
              <w:rPr>
                <w:rFonts w:hint="eastAsia" w:ascii="仿宋" w:hAnsi="仿宋" w:eastAsia="仿宋"/>
                <w:sz w:val="28"/>
                <w:szCs w:val="28"/>
              </w:rPr>
              <w:t>项</w:t>
            </w:r>
          </w:p>
        </w:tc>
        <w:tc>
          <w:tcPr>
            <w:tcW w:w="1559" w:type="dxa"/>
            <w:vAlign w:val="center"/>
          </w:tcPr>
          <w:p>
            <w:pPr>
              <w:spacing w:line="360" w:lineRule="exact"/>
              <w:jc w:val="center"/>
              <w:rPr>
                <w:rFonts w:ascii="仿宋" w:hAnsi="仿宋" w:eastAsia="仿宋"/>
                <w:sz w:val="28"/>
                <w:szCs w:val="28"/>
              </w:rPr>
            </w:pPr>
            <w:r>
              <w:rPr>
                <w:rFonts w:ascii="仿宋" w:hAnsi="仿宋" w:eastAsia="仿宋"/>
                <w:sz w:val="28"/>
                <w:szCs w:val="28"/>
              </w:rPr>
              <w:t>/</w:t>
            </w:r>
          </w:p>
        </w:tc>
        <w:tc>
          <w:tcPr>
            <w:tcW w:w="1417"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分</w:t>
            </w:r>
          </w:p>
        </w:tc>
        <w:tc>
          <w:tcPr>
            <w:tcW w:w="1610" w:type="dxa"/>
            <w:vAlign w:val="center"/>
          </w:tcPr>
          <w:p>
            <w:pPr>
              <w:spacing w:line="360" w:lineRule="exact"/>
              <w:jc w:val="center"/>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分</w:t>
            </w:r>
          </w:p>
        </w:tc>
      </w:tr>
    </w:tbl>
    <w:p>
      <w:pPr>
        <w:spacing w:line="360" w:lineRule="auto"/>
        <w:ind w:firstLine="480" w:firstLineChars="200"/>
        <w:rPr>
          <w:rFonts w:ascii="宋体" w:hAnsi="宋体"/>
          <w:sz w:val="24"/>
          <w:szCs w:val="24"/>
        </w:rPr>
      </w:pPr>
      <w:r>
        <w:rPr>
          <w:rFonts w:hint="eastAsia" w:ascii="宋体" w:hAnsi="宋体"/>
          <w:sz w:val="24"/>
          <w:szCs w:val="24"/>
        </w:rPr>
        <w:t>注：</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.公开出版的学术期刊发表本专业论文累计最多只能参评</w:t>
      </w:r>
      <w:r>
        <w:rPr>
          <w:rFonts w:ascii="宋体" w:hAnsi="宋体"/>
          <w:sz w:val="28"/>
          <w:szCs w:val="28"/>
        </w:rPr>
        <w:t xml:space="preserve">3 </w:t>
      </w:r>
      <w:r>
        <w:rPr>
          <w:rFonts w:hint="eastAsia" w:ascii="宋体" w:hAnsi="宋体"/>
          <w:sz w:val="28"/>
          <w:szCs w:val="28"/>
        </w:rPr>
        <w:t>篇（其中，中文核心期刊不少于</w:t>
      </w:r>
      <w:r>
        <w:rPr>
          <w:rFonts w:ascii="宋体" w:hAnsi="宋体"/>
          <w:sz w:val="28"/>
          <w:szCs w:val="28"/>
        </w:rPr>
        <w:t>1</w:t>
      </w:r>
      <w:r>
        <w:rPr>
          <w:rFonts w:hint="eastAsia" w:ascii="宋体" w:hAnsi="宋体"/>
          <w:sz w:val="28"/>
          <w:szCs w:val="28"/>
        </w:rPr>
        <w:t>篇）；</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.被</w:t>
      </w:r>
      <w:r>
        <w:rPr>
          <w:rFonts w:ascii="宋体" w:hAnsi="宋体"/>
          <w:sz w:val="28"/>
          <w:szCs w:val="28"/>
        </w:rPr>
        <w:t>SCI(</w:t>
      </w:r>
      <w:r>
        <w:rPr>
          <w:rFonts w:hint="eastAsia" w:ascii="宋体" w:hAnsi="宋体"/>
          <w:sz w:val="28"/>
          <w:szCs w:val="28"/>
        </w:rPr>
        <w:t>科学引文索引</w:t>
      </w:r>
      <w:r>
        <w:rPr>
          <w:rFonts w:ascii="宋体" w:hAnsi="宋体"/>
          <w:sz w:val="28"/>
          <w:szCs w:val="28"/>
        </w:rPr>
        <w:t>)</w:t>
      </w:r>
      <w:r>
        <w:rPr>
          <w:rFonts w:hint="eastAsia" w:ascii="宋体" w:hAnsi="宋体"/>
          <w:sz w:val="28"/>
          <w:szCs w:val="28"/>
        </w:rPr>
        <w:t>、</w:t>
      </w:r>
      <w:r>
        <w:rPr>
          <w:rFonts w:ascii="宋体" w:hAnsi="宋体"/>
          <w:sz w:val="28"/>
          <w:szCs w:val="28"/>
        </w:rPr>
        <w:t>EI(</w:t>
      </w:r>
      <w:r>
        <w:rPr>
          <w:rFonts w:hint="eastAsia" w:ascii="宋体" w:hAnsi="宋体"/>
          <w:sz w:val="28"/>
          <w:szCs w:val="28"/>
        </w:rPr>
        <w:t>工程索引</w:t>
      </w:r>
      <w:r>
        <w:rPr>
          <w:rFonts w:ascii="宋体" w:hAnsi="宋体"/>
          <w:sz w:val="28"/>
          <w:szCs w:val="28"/>
        </w:rPr>
        <w:t>)</w:t>
      </w:r>
      <w:r>
        <w:rPr>
          <w:rFonts w:hint="eastAsia" w:ascii="宋体" w:hAnsi="宋体"/>
          <w:sz w:val="28"/>
          <w:szCs w:val="28"/>
        </w:rPr>
        <w:t>收录的论文</w:t>
      </w:r>
      <w:r>
        <w:rPr>
          <w:rFonts w:ascii="宋体" w:hAnsi="宋体"/>
          <w:sz w:val="28"/>
          <w:szCs w:val="28"/>
        </w:rPr>
        <w:t xml:space="preserve">1 </w:t>
      </w:r>
      <w:r>
        <w:rPr>
          <w:rFonts w:hint="eastAsia" w:ascii="宋体" w:hAnsi="宋体"/>
          <w:sz w:val="28"/>
          <w:szCs w:val="28"/>
        </w:rPr>
        <w:t>篇，需提供收录证明；</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.国家级工法和省部级工法分别最多累计可以参评</w:t>
      </w:r>
      <w:r>
        <w:rPr>
          <w:rFonts w:ascii="宋体" w:hAnsi="宋体"/>
          <w:sz w:val="28"/>
          <w:szCs w:val="28"/>
        </w:rPr>
        <w:t xml:space="preserve">2 </w:t>
      </w:r>
      <w:r>
        <w:rPr>
          <w:rFonts w:hint="eastAsia" w:ascii="宋体" w:hAnsi="宋体"/>
          <w:sz w:val="28"/>
          <w:szCs w:val="28"/>
        </w:rPr>
        <w:t>项；</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.对发明专利代替论文的原则如下：荣获中国专利优秀奖、广东专利金奖、广东发明人奖（发明人排名前</w:t>
      </w:r>
      <w:r>
        <w:rPr>
          <w:rFonts w:ascii="宋体" w:hAnsi="宋体"/>
          <w:sz w:val="28"/>
          <w:szCs w:val="28"/>
        </w:rPr>
        <w:t>3</w:t>
      </w:r>
      <w:r>
        <w:rPr>
          <w:rFonts w:hint="eastAsia" w:ascii="宋体" w:hAnsi="宋体"/>
          <w:sz w:val="28"/>
          <w:szCs w:val="28"/>
        </w:rPr>
        <w:t>）的</w:t>
      </w:r>
      <w:r>
        <w:rPr>
          <w:rFonts w:ascii="宋体" w:hAnsi="宋体"/>
          <w:sz w:val="28"/>
          <w:szCs w:val="28"/>
        </w:rPr>
        <w:t xml:space="preserve">1 </w:t>
      </w:r>
      <w:r>
        <w:rPr>
          <w:rFonts w:hint="eastAsia" w:ascii="宋体" w:hAnsi="宋体"/>
          <w:sz w:val="28"/>
          <w:szCs w:val="28"/>
        </w:rPr>
        <w:t>项可替代</w:t>
      </w:r>
      <w:r>
        <w:rPr>
          <w:rFonts w:ascii="宋体" w:hAnsi="宋体"/>
          <w:sz w:val="28"/>
          <w:szCs w:val="28"/>
        </w:rPr>
        <w:t xml:space="preserve">1 </w:t>
      </w:r>
      <w:r>
        <w:rPr>
          <w:rFonts w:hint="eastAsia" w:ascii="宋体" w:hAnsi="宋体"/>
          <w:sz w:val="28"/>
          <w:szCs w:val="28"/>
        </w:rPr>
        <w:t>篇“</w:t>
      </w:r>
      <w:r>
        <w:rPr>
          <w:rFonts w:ascii="宋体" w:hAnsi="宋体"/>
          <w:sz w:val="28"/>
          <w:szCs w:val="28"/>
        </w:rPr>
        <w:t>SCI”</w:t>
      </w:r>
      <w:r>
        <w:rPr>
          <w:rFonts w:hint="eastAsia" w:ascii="宋体" w:hAnsi="宋体"/>
          <w:sz w:val="28"/>
          <w:szCs w:val="28"/>
        </w:rPr>
        <w:t>、“</w:t>
      </w:r>
      <w:r>
        <w:rPr>
          <w:rFonts w:ascii="宋体" w:hAnsi="宋体"/>
          <w:sz w:val="28"/>
          <w:szCs w:val="28"/>
        </w:rPr>
        <w:t>EI”</w:t>
      </w:r>
      <w:r>
        <w:rPr>
          <w:rFonts w:hint="eastAsia" w:ascii="宋体" w:hAnsi="宋体"/>
          <w:sz w:val="28"/>
          <w:szCs w:val="28"/>
        </w:rPr>
        <w:t>收录论文要求或可替代</w:t>
      </w:r>
      <w:r>
        <w:rPr>
          <w:rFonts w:ascii="宋体" w:hAnsi="宋体"/>
          <w:sz w:val="28"/>
          <w:szCs w:val="28"/>
        </w:rPr>
        <w:t xml:space="preserve">2 </w:t>
      </w:r>
      <w:r>
        <w:rPr>
          <w:rFonts w:hint="eastAsia" w:ascii="宋体" w:hAnsi="宋体"/>
          <w:sz w:val="28"/>
          <w:szCs w:val="28"/>
        </w:rPr>
        <w:t>篇中文核心期刊论文要求；荣获广东专利优秀奖（发明人排名前</w:t>
      </w:r>
      <w:r>
        <w:rPr>
          <w:rFonts w:ascii="宋体" w:hAnsi="宋体"/>
          <w:sz w:val="28"/>
          <w:szCs w:val="28"/>
        </w:rPr>
        <w:t>3</w:t>
      </w:r>
      <w:r>
        <w:rPr>
          <w:rFonts w:hint="eastAsia" w:ascii="宋体" w:hAnsi="宋体"/>
          <w:sz w:val="28"/>
          <w:szCs w:val="28"/>
        </w:rPr>
        <w:t>）的</w:t>
      </w:r>
      <w:r>
        <w:rPr>
          <w:rFonts w:ascii="宋体" w:hAnsi="宋体"/>
          <w:sz w:val="28"/>
          <w:szCs w:val="28"/>
        </w:rPr>
        <w:t xml:space="preserve">1 </w:t>
      </w:r>
      <w:r>
        <w:rPr>
          <w:rFonts w:hint="eastAsia" w:ascii="宋体" w:hAnsi="宋体"/>
          <w:sz w:val="28"/>
          <w:szCs w:val="28"/>
        </w:rPr>
        <w:t>项可替代</w:t>
      </w:r>
      <w:r>
        <w:rPr>
          <w:rFonts w:ascii="宋体" w:hAnsi="宋体"/>
          <w:sz w:val="28"/>
          <w:szCs w:val="28"/>
        </w:rPr>
        <w:t xml:space="preserve">1 </w:t>
      </w:r>
      <w:r>
        <w:rPr>
          <w:rFonts w:hint="eastAsia" w:ascii="宋体" w:hAnsi="宋体"/>
          <w:sz w:val="28"/>
          <w:szCs w:val="28"/>
        </w:rPr>
        <w:t>篇中文核心期刊论文要求或</w:t>
      </w:r>
      <w:r>
        <w:rPr>
          <w:rFonts w:ascii="宋体" w:hAnsi="宋体"/>
          <w:sz w:val="28"/>
          <w:szCs w:val="28"/>
        </w:rPr>
        <w:t xml:space="preserve">2 </w:t>
      </w:r>
      <w:r>
        <w:rPr>
          <w:rFonts w:hint="eastAsia" w:ascii="宋体" w:hAnsi="宋体"/>
          <w:sz w:val="28"/>
          <w:szCs w:val="28"/>
        </w:rPr>
        <w:t>篇学术期刊论文；</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 学术期刊名录可在国家新闻出版广电总局网站上查询。</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第八条　直接认定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符合条件的高层次人才可直接认定为正高职称资格。入选国家“千人计划”的个人、“百千万人才工程”国家级第一、二层次人选、交通部“十百千人才工程”第一层次人选、百名南粤杰出人才培养工程人选、入选“广东引进领军人才”的个人或“广东引进科研创新团队”带头人，可直接认定相应专业最高级别专业技术资格。</w:t>
      </w:r>
    </w:p>
    <w:p>
      <w:pPr>
        <w:spacing w:line="360" w:lineRule="auto"/>
        <w:ind w:firstLine="964" w:firstLineChars="300"/>
        <w:jc w:val="center"/>
        <w:rPr>
          <w:rFonts w:ascii="黑体" w:hAnsi="黑体" w:eastAsia="黑体"/>
          <w:sz w:val="32"/>
          <w:szCs w:val="32"/>
        </w:rPr>
      </w:pPr>
      <w:r>
        <w:rPr>
          <w:rFonts w:hint="eastAsia" w:ascii="黑体" w:hAnsi="黑体" w:eastAsia="黑体" w:cs="黑体"/>
          <w:b/>
          <w:sz w:val="32"/>
          <w:szCs w:val="32"/>
        </w:rPr>
        <w:t>第九条　附则</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一）凡符合上述条件，提交第二、三、四、五、六、七、八条规定的材料者，可申报评审高级工程师（教授级）资格；提交第九条规定的材料者，可申报考核认定高级工程师（教授级）资格。按规定程序送评，否则，各级人事（职改）部门不予受理，高评委会不予评审。</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（二）本资格条件词（语）的特定解释：</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1.凡冠有“以上”或“以下”的，均含本级或本数量。</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2.重大科技成果：指对国家或本地区科技发展有较大影响的科技成果。</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3.专业学术刊物指取得CN或ISSN刊号及以上级别的专业学术刊物；学术专著、著作是指取得ISBN书号的专业技术著作。</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4.科技成果奖项和工程类技术成果奖项所包括的范围详见附表“高级工程师（教授级）资格评审有效获奖项目一览表”所列，未列入的奖项无效，不作为参评的依据。</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5.获奖项目的“主要完成人”系指所获奖项的等级额定获奖人员（无额定获奖人员排序的项目，由各推荐单位提供8人以内的排序名单，名单需单位发文）。各类奖励以正式文件、证书为准。</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6.生产科研中的“主持人”系指项目的经理、主管生产或科研的副经理、总工程师及科技开发部门主要负责人。</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7.“主持”系指科研课题或工程项目的总体设计、论证、组织和指导者，并承担其中主要工作（以项目计划任务书或文件为依据）。</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8.项目建设管理或施工管理中的“主要技术负责人”指该项目中的总经理、总工程师、分管相关技术工作的副总经理和工程部长等；勘察设计项目的“主要技术负责人”指该项目的设计负责人或总工程师等；工程监理项目的“主要技术负责人”指该项目的总监、副总监、总监代表、试验检测质量负责人和技术负责人等；咨询、造价及交通规划项目的“主要技术负责人”指该项目的负责人和技术总工程师等。</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kern w:val="0"/>
          <w:sz w:val="32"/>
          <w:szCs w:val="28"/>
        </w:rPr>
        <w:t>项目完成的标准以通过工程交工验收工作为准。</w:t>
      </w:r>
    </w:p>
    <w:p>
      <w:pPr>
        <w:adjustRightInd w:val="0"/>
        <w:snapToGrid w:val="0"/>
        <w:spacing w:line="360" w:lineRule="auto"/>
        <w:ind w:firstLine="627" w:firstLineChars="196"/>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.工程项目等级划分</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1）重大路桥工程项目：一般指投资金额特别巨大，且包含特大桥或特长隧道或大型枢纽互通等工程技术难度较高工程的综合型高速公路项目；或具备特殊桥型结构且跨径特别大的独立大桥，或跨江（海）且有采用非传统施工方法成洞的特殊隧道工程等。</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2）大型路桥工程项目：一般指投资金额比较大，且包含大型桥或长隧道或大型互通立交的综合型高速公路或一级公路项目；或跨径比较大的独立大桥，或地质条件比较复杂且较长的大型独立隧道工程等。</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3）重大港航工程项目：</w:t>
      </w:r>
      <w:bookmarkStart w:id="0" w:name="_GoBack"/>
      <w:bookmarkEnd w:id="0"/>
      <w:r>
        <w:rPr>
          <w:rFonts w:hint="eastAsia" w:ascii="仿宋" w:hAnsi="仿宋" w:eastAsia="仿宋"/>
          <w:sz w:val="32"/>
          <w:szCs w:val="32"/>
        </w:rPr>
        <w:t>一般指投资金额特别大，且至少包含一项通航吨位特别大的港口码头、船坞、航道工程或特大吨位的升船机或特大型防波堤或特大型疏浚工程等的项目。</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4）大型港航工程项目：一般指投资金额比较大，且至少包含一项通航吨位比较大的港口码头、船坞、航道工程或比较大吨位的升船机或大型防波堤或大型疏浚工程等的项目。</w:t>
      </w:r>
    </w:p>
    <w:p>
      <w:pPr>
        <w:adjustRightInd w:val="0"/>
        <w:snapToGrid w:val="0"/>
        <w:spacing w:line="360" w:lineRule="auto"/>
        <w:ind w:firstLine="627" w:firstLineChars="196"/>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.各类规范、标准等的发布实施以主管部门发出的正式颁布文件为准，评审时的有效性以正式颁布的时间来界定。</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.论文著作中“相关专业”是指与路桥和港航工程相关的土木建筑工程、隧道工程、轨道工程、测绘工程、地质工程、岩土工程、市政道路工程等专业。</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.所有各类奖项的有效期以颁发的时间，即获奖证书载明的获奖时间来界定，同时该项目的鉴定或竣工时间必须是在申报人员取得副高级职称的时间之后。</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13.“在职在岗”系指从事公路（水运）行业相关技术工作，且满8年以上，须有任职单位出具的证明材料（包括与所在单位签订的劳动合同、单位任职文件、单位考勤、个人社保证明等）。</w:t>
      </w:r>
    </w:p>
    <w:p>
      <w:pPr>
        <w:adjustRightInd w:val="0"/>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（三）关于外语条件</w:t>
      </w:r>
    </w:p>
    <w:p>
      <w:pPr>
        <w:adjustRightInd w:val="0"/>
        <w:snapToGrid w:val="0"/>
        <w:spacing w:line="360" w:lineRule="auto"/>
        <w:ind w:firstLine="627" w:firstLineChars="196"/>
        <w:rPr>
          <w:rFonts w:ascii="仿宋" w:hAnsi="仿宋" w:eastAsia="仿宋"/>
          <w:sz w:val="28"/>
          <w:szCs w:val="32"/>
        </w:rPr>
      </w:pPr>
      <w:r>
        <w:rPr>
          <w:rFonts w:hint="eastAsia" w:ascii="仿宋" w:hAnsi="仿宋" w:eastAsia="仿宋"/>
          <w:sz w:val="32"/>
          <w:szCs w:val="32"/>
        </w:rPr>
        <w:t>根据广东省人力资源和社会保障厅相关文件要求，职称外语能力条件不作统一要求。确需评价外语能力水平的，由评审委员会自主确定，或由用人单位在职称推荐申报环节增加相关要求。</w:t>
      </w:r>
    </w:p>
    <w:p>
      <w:pPr>
        <w:adjustRightInd w:val="0"/>
        <w:spacing w:line="360" w:lineRule="auto"/>
        <w:ind w:firstLine="200"/>
        <w:jc w:val="cente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787A"/>
    <w:rsid w:val="00033AC2"/>
    <w:rsid w:val="000373D1"/>
    <w:rsid w:val="00077617"/>
    <w:rsid w:val="00094FA4"/>
    <w:rsid w:val="000B1D42"/>
    <w:rsid w:val="001842B3"/>
    <w:rsid w:val="001D7DEE"/>
    <w:rsid w:val="0020787A"/>
    <w:rsid w:val="002632E7"/>
    <w:rsid w:val="002A6DCC"/>
    <w:rsid w:val="002D7DE4"/>
    <w:rsid w:val="002F67BE"/>
    <w:rsid w:val="003A3968"/>
    <w:rsid w:val="003B4DF8"/>
    <w:rsid w:val="00415BB3"/>
    <w:rsid w:val="00453912"/>
    <w:rsid w:val="0049750F"/>
    <w:rsid w:val="004E5171"/>
    <w:rsid w:val="00530BD3"/>
    <w:rsid w:val="005F26FA"/>
    <w:rsid w:val="00604B04"/>
    <w:rsid w:val="00694F66"/>
    <w:rsid w:val="0071562D"/>
    <w:rsid w:val="0099099F"/>
    <w:rsid w:val="009B4752"/>
    <w:rsid w:val="009D0E74"/>
    <w:rsid w:val="00A105A3"/>
    <w:rsid w:val="00AE1EAF"/>
    <w:rsid w:val="00BB0A31"/>
    <w:rsid w:val="00BB7EB2"/>
    <w:rsid w:val="00C83EDF"/>
    <w:rsid w:val="00C85618"/>
    <w:rsid w:val="00CC12FF"/>
    <w:rsid w:val="00D52ABC"/>
    <w:rsid w:val="00DD096D"/>
    <w:rsid w:val="00DD2EEB"/>
    <w:rsid w:val="00E16A47"/>
    <w:rsid w:val="00E8229B"/>
    <w:rsid w:val="00EE12AC"/>
    <w:rsid w:val="00EE7A56"/>
    <w:rsid w:val="00F27F32"/>
    <w:rsid w:val="00F35A8B"/>
    <w:rsid w:val="00F657F1"/>
    <w:rsid w:val="00FD44D9"/>
    <w:rsid w:val="15733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line="0" w:lineRule="atLeast"/>
      <w:jc w:val="center"/>
      <w:outlineLvl w:val="0"/>
    </w:pPr>
    <w:rPr>
      <w:rFonts w:eastAsia="方正小标宋简体"/>
      <w:kern w:val="44"/>
      <w:sz w:val="44"/>
      <w:szCs w:val="44"/>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asciiTheme="minorHAnsi" w:hAnsiTheme="minorHAnsi" w:eastAsiaTheme="minorEastAsia" w:cstheme="minorBidi"/>
      <w:szCs w:val="24"/>
    </w:rPr>
  </w:style>
  <w:style w:type="paragraph" w:styleId="4">
    <w:name w:val="Body Text Indent 2"/>
    <w:basedOn w:val="1"/>
    <w:link w:val="15"/>
    <w:qFormat/>
    <w:uiPriority w:val="0"/>
    <w:pPr>
      <w:spacing w:after="120" w:line="480" w:lineRule="auto"/>
      <w:ind w:left="420" w:leftChars="200"/>
    </w:pPr>
    <w:rPr>
      <w:szCs w:val="24"/>
    </w:rPr>
  </w:style>
  <w:style w:type="paragraph" w:styleId="5">
    <w:name w:val="Balloon Text"/>
    <w:basedOn w:val="1"/>
    <w:link w:val="18"/>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uiPriority w:val="9"/>
    <w:rPr>
      <w:rFonts w:ascii="Times New Roman" w:hAnsi="Times New Roman" w:eastAsia="方正小标宋简体" w:cs="Times New Roman"/>
      <w:kern w:val="44"/>
      <w:sz w:val="44"/>
      <w:szCs w:val="44"/>
    </w:rPr>
  </w:style>
  <w:style w:type="character" w:customStyle="1" w:styleId="14">
    <w:name w:val="脚注文本 Char"/>
    <w:basedOn w:val="9"/>
    <w:link w:val="8"/>
    <w:qFormat/>
    <w:uiPriority w:val="99"/>
    <w:rPr>
      <w:rFonts w:ascii="Times New Roman" w:hAnsi="Times New Roman" w:eastAsia="宋体" w:cs="Times New Roman"/>
      <w:sz w:val="18"/>
      <w:szCs w:val="20"/>
    </w:rPr>
  </w:style>
  <w:style w:type="character" w:customStyle="1" w:styleId="15">
    <w:name w:val="正文文本缩进 2 Char"/>
    <w:basedOn w:val="9"/>
    <w:link w:val="4"/>
    <w:qFormat/>
    <w:uiPriority w:val="0"/>
    <w:rPr>
      <w:rFonts w:ascii="Times New Roman" w:hAnsi="Times New Roman" w:eastAsia="宋体" w:cs="Times New Roman"/>
      <w:szCs w:val="24"/>
    </w:rPr>
  </w:style>
  <w:style w:type="character" w:customStyle="1" w:styleId="16">
    <w:name w:val="批注文字 Char"/>
    <w:link w:val="3"/>
    <w:qFormat/>
    <w:uiPriority w:val="0"/>
    <w:rPr>
      <w:szCs w:val="24"/>
    </w:rPr>
  </w:style>
  <w:style w:type="character" w:customStyle="1" w:styleId="17">
    <w:name w:val="批注文字 字符"/>
    <w:basedOn w:val="9"/>
    <w:semiHidden/>
    <w:qFormat/>
    <w:uiPriority w:val="99"/>
    <w:rPr>
      <w:rFonts w:ascii="Times New Roman" w:hAnsi="Times New Roman" w:eastAsia="宋体" w:cs="Times New Roman"/>
      <w:szCs w:val="20"/>
    </w:rPr>
  </w:style>
  <w:style w:type="character" w:customStyle="1" w:styleId="18">
    <w:name w:val="批注框文本 Char"/>
    <w:basedOn w:val="9"/>
    <w:link w:val="5"/>
    <w:semiHidden/>
    <w:qFormat/>
    <w:uiPriority w:val="99"/>
    <w:rPr>
      <w:rFonts w:ascii="Times New Roman" w:hAnsi="Times New Roman" w:eastAsia="宋体" w:cs="Times New Roman"/>
      <w:sz w:val="18"/>
      <w:szCs w:val="18"/>
    </w:rPr>
  </w:style>
  <w:style w:type="character" w:customStyle="1" w:styleId="19">
    <w:name w:val="页眉 Char"/>
    <w:basedOn w:val="9"/>
    <w:link w:val="7"/>
    <w:qFormat/>
    <w:uiPriority w:val="99"/>
    <w:rPr>
      <w:rFonts w:ascii="Times New Roman" w:hAnsi="Times New Roman" w:eastAsia="宋体" w:cs="Times New Roman"/>
      <w:sz w:val="18"/>
      <w:szCs w:val="18"/>
    </w:rPr>
  </w:style>
  <w:style w:type="character" w:customStyle="1" w:styleId="20">
    <w:name w:val="页脚 Char"/>
    <w:basedOn w:val="9"/>
    <w:link w:val="6"/>
    <w:uiPriority w:val="99"/>
    <w:rPr>
      <w:rFonts w:ascii="Times New Roman" w:hAnsi="Times New Roman" w:eastAsia="宋体" w:cs="Times New Roman"/>
      <w:sz w:val="18"/>
      <w:szCs w:val="18"/>
    </w:rPr>
  </w:style>
  <w:style w:type="paragraph" w:customStyle="1" w:styleId="21">
    <w:name w:val="Revision"/>
    <w:hidden/>
    <w:semiHidden/>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702</Words>
  <Characters>4002</Characters>
  <Lines>33</Lines>
  <Paragraphs>9</Paragraphs>
  <TotalTime>184</TotalTime>
  <ScaleCrop>false</ScaleCrop>
  <LinksUpToDate>false</LinksUpToDate>
  <CharactersWithSpaces>4695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2018-03-06T15:43:00Z</dcterms:created>
  <dc:creator>Larry Lin</dc:creator>
  <cp:lastModifiedBy>司马术奇</cp:lastModifiedBy>
  <dcterms:modified xsi:type="dcterms:W3CDTF">2018-03-09T04:42:03Z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